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B8737D">
        <w:trPr>
          <w:trHeight w:val="1851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961584" wp14:editId="17C425CC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EAC977" wp14:editId="7C3FC992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B8737D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4E318" wp14:editId="4028EFB4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9A6CF8" w:rsidRPr="00CE65EA" w:rsidRDefault="007366CF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</w:tc>
      </w:tr>
    </w:tbl>
    <w:p w:rsidR="009A6CF8" w:rsidRDefault="009A6CF8" w:rsidP="007366CF">
      <w:pPr>
        <w:jc w:val="both"/>
        <w:rPr>
          <w:b/>
          <w:caps/>
          <w:sz w:val="28"/>
          <w:szCs w:val="2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B8737D" w:rsidRPr="00B8737D" w:rsidRDefault="00581F7C" w:rsidP="00B8737D">
      <w:pPr>
        <w:ind w:firstLine="709"/>
        <w:jc w:val="both"/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B8737D">
        <w:t>в</w:t>
      </w:r>
      <w:r w:rsidR="00B8737D" w:rsidRPr="00B8737D">
        <w:t>о</w:t>
      </w:r>
      <w:r w:rsidR="004B5397" w:rsidRPr="00B8737D">
        <w:t xml:space="preserve"> </w:t>
      </w:r>
      <w:r w:rsidR="00B8737D" w:rsidRPr="00B8737D">
        <w:t>Всероссийской научно-практической конференции</w:t>
      </w:r>
      <w:r w:rsidR="0061548C">
        <w:t xml:space="preserve"> с международным участием</w:t>
      </w:r>
      <w:r w:rsidR="00B8737D" w:rsidRPr="00B8737D">
        <w:t>, посвященн</w:t>
      </w:r>
      <w:r w:rsidR="00F06513">
        <w:t>ой</w:t>
      </w:r>
      <w:r w:rsidR="00B8737D" w:rsidRPr="00B8737D">
        <w:t xml:space="preserve"> памяти А.А. Ежевского </w:t>
      </w:r>
      <w:r w:rsidR="00B8737D" w:rsidRPr="00B8737D">
        <w:rPr>
          <w:b/>
        </w:rPr>
        <w:t xml:space="preserve">«Проблемы и перспективы устойчивого развития </w:t>
      </w:r>
      <w:r w:rsidR="00A25509">
        <w:rPr>
          <w:b/>
        </w:rPr>
        <w:t>агропромышленного комплекса</w:t>
      </w:r>
      <w:r w:rsidR="00B8737D" w:rsidRPr="00B8737D">
        <w:rPr>
          <w:b/>
        </w:rPr>
        <w:t>»</w:t>
      </w:r>
    </w:p>
    <w:p w:rsidR="004B5397" w:rsidRDefault="00B8737D" w:rsidP="00B8737D">
      <w:pPr>
        <w:ind w:firstLine="709"/>
        <w:jc w:val="both"/>
      </w:pPr>
      <w:r w:rsidRPr="00B8737D">
        <w:t xml:space="preserve">Конференция посвящена проблемам и перспективам устойчивого развития </w:t>
      </w:r>
      <w:r w:rsidR="004E7894">
        <w:t xml:space="preserve">агропромышленного комплекса </w:t>
      </w:r>
      <w:r w:rsidRPr="00B8737D">
        <w:t xml:space="preserve"> и приурочена к</w:t>
      </w:r>
      <w:r>
        <w:t>о дню рождения А.А. Ежевского</w:t>
      </w:r>
      <w:r w:rsidR="000B707C">
        <w:t>. Дата проведения конференции</w:t>
      </w:r>
      <w:r>
        <w:rPr>
          <w:b/>
        </w:rPr>
        <w:t xml:space="preserve"> </w:t>
      </w:r>
      <w:r w:rsidRPr="00B8737D">
        <w:rPr>
          <w:b/>
        </w:rPr>
        <w:t>15-16</w:t>
      </w:r>
      <w:r w:rsidR="004B5397" w:rsidRPr="00B8737D">
        <w:rPr>
          <w:b/>
        </w:rPr>
        <w:t xml:space="preserve"> </w:t>
      </w:r>
      <w:r w:rsidRPr="00B8737D">
        <w:rPr>
          <w:b/>
        </w:rPr>
        <w:t>ноября</w:t>
      </w:r>
      <w:r w:rsidR="004B5397" w:rsidRPr="00B8737D">
        <w:rPr>
          <w:b/>
        </w:rPr>
        <w:t xml:space="preserve"> 2018 года.</w:t>
      </w:r>
      <w:r w:rsidR="004B5397" w:rsidRPr="00B8737D">
        <w:t xml:space="preserve"> </w:t>
      </w:r>
    </w:p>
    <w:p w:rsidR="00C93FF4" w:rsidRPr="00B8737D" w:rsidRDefault="00C93FF4" w:rsidP="00B8737D">
      <w:pPr>
        <w:ind w:firstLine="709"/>
        <w:jc w:val="both"/>
      </w:pPr>
      <w:r w:rsidRPr="00C93FF4">
        <w:rPr>
          <w:b/>
        </w:rPr>
        <w:t>Рабочий язык</w:t>
      </w:r>
      <w:r>
        <w:t>: русский, английский.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Default="004B5397" w:rsidP="004B5397">
      <w:pPr>
        <w:ind w:firstLine="708"/>
        <w:jc w:val="center"/>
      </w:pPr>
    </w:p>
    <w:p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Адаптивные технологии в земледелии и растениеводстве</w:t>
      </w:r>
    </w:p>
    <w:p w:rsidR="004B5397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Инновации</w:t>
      </w:r>
      <w:r w:rsidR="004B5397" w:rsidRPr="00082CE9">
        <w:t xml:space="preserve"> </w:t>
      </w:r>
      <w:r>
        <w:t xml:space="preserve">в </w:t>
      </w:r>
      <w:r w:rsidR="004B5397" w:rsidRPr="00082CE9">
        <w:t>производств</w:t>
      </w:r>
      <w:r>
        <w:t>е</w:t>
      </w:r>
      <w:r w:rsidR="004B5397" w:rsidRPr="00082CE9">
        <w:t xml:space="preserve"> </w:t>
      </w:r>
      <w:r>
        <w:t>животноводческой</w:t>
      </w:r>
      <w:r w:rsidR="004B5397" w:rsidRPr="00082CE9">
        <w:t xml:space="preserve"> продукции</w:t>
      </w:r>
      <w:r>
        <w:t xml:space="preserve"> и профилактике болезней сельскохозяйственных животных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Эк</w:t>
      </w:r>
      <w:r w:rsidR="00D533D8">
        <w:t xml:space="preserve">ология, охрана </w:t>
      </w:r>
      <w:r w:rsidR="001C0063">
        <w:t xml:space="preserve">окружающей среды </w:t>
      </w:r>
      <w:r w:rsidR="00D533D8">
        <w:t xml:space="preserve">и </w:t>
      </w:r>
      <w:r w:rsidR="004509EC">
        <w:t>природопользование</w:t>
      </w:r>
    </w:p>
    <w:p w:rsidR="002D2950" w:rsidRPr="00082CE9" w:rsidRDefault="002D295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Информационные технологии и робототехника в обеспечении</w:t>
      </w:r>
      <w:r w:rsidR="00E25F1B">
        <w:t xml:space="preserve"> эффективности аграрного производства</w:t>
      </w:r>
    </w:p>
    <w:p w:rsidR="00581F7C" w:rsidRDefault="00E25F1B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Инновационные решения инженерных и энергетических задач </w:t>
      </w:r>
      <w:r w:rsidR="00D533D8">
        <w:t>в сельском хозяйстве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 xml:space="preserve">Социально-экономические </w:t>
      </w:r>
      <w:r w:rsidR="00E25F1B">
        <w:t>аспекты</w:t>
      </w:r>
      <w:r w:rsidRPr="00082CE9">
        <w:t xml:space="preserve"> устойчивого развития </w:t>
      </w:r>
      <w:r w:rsidR="00E25F1B">
        <w:t>сельского хозяйства</w:t>
      </w:r>
    </w:p>
    <w:p w:rsidR="009B1D13" w:rsidRDefault="009B1D13" w:rsidP="004B5397">
      <w:pPr>
        <w:jc w:val="both"/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4B5397">
        <w:rPr>
          <w:b/>
        </w:rPr>
        <w:t>1</w:t>
      </w:r>
      <w:r w:rsidRPr="00C43A9D">
        <w:rPr>
          <w:b/>
        </w:rPr>
        <w:t xml:space="preserve"> </w:t>
      </w:r>
      <w:r w:rsidR="00B8737D">
        <w:rPr>
          <w:b/>
        </w:rPr>
        <w:t>октября</w:t>
      </w:r>
      <w:r w:rsidRPr="00C43A9D">
        <w:rPr>
          <w:b/>
        </w:rPr>
        <w:t xml:space="preserve"> 201</w:t>
      </w:r>
      <w:r w:rsidR="00063F14">
        <w:rPr>
          <w:b/>
        </w:rPr>
        <w:t xml:space="preserve">8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r w:rsidRPr="00F10447">
        <w:rPr>
          <w:b/>
        </w:rPr>
        <w:t>ответственных за свое направление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>Электронная версия сборника будет выставлена на сайте вуза</w:t>
      </w:r>
      <w:r>
        <w:rPr>
          <w:b/>
          <w:bCs/>
          <w:color w:val="000000"/>
        </w:rPr>
        <w:t xml:space="preserve"> </w:t>
      </w:r>
      <w:r w:rsidR="00B8737D">
        <w:rPr>
          <w:rStyle w:val="aa"/>
          <w:b/>
        </w:rPr>
        <w:t>www.i</w:t>
      </w:r>
      <w:r w:rsidR="00B8737D">
        <w:rPr>
          <w:rStyle w:val="aa"/>
          <w:b/>
          <w:lang w:val="en-US"/>
        </w:rPr>
        <w:t>r</w:t>
      </w:r>
      <w:proofErr w:type="spellStart"/>
      <w:r w:rsidR="00B8737D">
        <w:rPr>
          <w:rStyle w:val="aa"/>
          <w:b/>
        </w:rPr>
        <w:t>s</w:t>
      </w:r>
      <w:r w:rsidRPr="00A47221">
        <w:rPr>
          <w:rStyle w:val="aa"/>
          <w:b/>
        </w:rPr>
        <w:t>a</w:t>
      </w:r>
      <w:proofErr w:type="spellEnd"/>
      <w:r w:rsidR="00B8737D">
        <w:rPr>
          <w:rStyle w:val="aa"/>
          <w:b/>
          <w:lang w:val="en-US"/>
        </w:rPr>
        <w:t>u</w:t>
      </w:r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 w:rsidR="00B8737D" w:rsidRPr="00B8737D">
        <w:rPr>
          <w:bCs/>
          <w:color w:val="000000"/>
        </w:rPr>
        <w:t xml:space="preserve"> </w:t>
      </w:r>
      <w:r w:rsidR="00B8737D" w:rsidRPr="00B8737D">
        <w:rPr>
          <w:bCs/>
          <w:i/>
          <w:color w:val="000000"/>
        </w:rPr>
        <w:t>Деятельность</w:t>
      </w:r>
      <w:r w:rsidR="00B8737D">
        <w:rPr>
          <w:bCs/>
          <w:color w:val="000000"/>
        </w:rPr>
        <w:t>-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соответствовать основным направлениям конференции.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проводит</w:t>
      </w:r>
      <w:r w:rsidR="002A1239">
        <w:t>ь</w:t>
      </w:r>
      <w:r w:rsidRPr="00C95A39">
        <w:t xml:space="preserve">ся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</w:t>
      </w:r>
      <w:proofErr w:type="spellStart"/>
      <w:r w:rsidR="00811580" w:rsidRPr="00C95A39">
        <w:t>наукометрическо</w:t>
      </w:r>
      <w:r w:rsidR="002A1239">
        <w:t>й</w:t>
      </w:r>
      <w:proofErr w:type="spellEnd"/>
      <w:r w:rsidR="00811580" w:rsidRPr="00C95A39">
        <w:t xml:space="preserve"> базе РИНЦ. 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</w:t>
      </w:r>
      <w:r w:rsidRPr="00B8737D">
        <w:rPr>
          <w:b/>
        </w:rPr>
        <w:t>сертификат</w:t>
      </w:r>
      <w:r w:rsidRPr="00C95A39">
        <w:t xml:space="preserve">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</w:p>
    <w:p w:rsidR="006B547D" w:rsidRDefault="006B547D" w:rsidP="004E362E">
      <w:pPr>
        <w:ind w:firstLine="709"/>
        <w:jc w:val="both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4B5397">
        <w:rPr>
          <w:b/>
        </w:rPr>
        <w:t>1</w:t>
      </w:r>
      <w:r w:rsidRPr="00F51636">
        <w:rPr>
          <w:b/>
        </w:rPr>
        <w:t xml:space="preserve"> </w:t>
      </w:r>
      <w:r w:rsidR="00B8737D">
        <w:rPr>
          <w:b/>
        </w:rPr>
        <w:t>октября</w:t>
      </w:r>
      <w:r w:rsidR="00063F14">
        <w:rPr>
          <w:b/>
        </w:rPr>
        <w:t xml:space="preserve"> 2018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C95A39">
        <w:t>Microsoft</w:t>
      </w:r>
      <w:proofErr w:type="spellEnd"/>
      <w:r w:rsidRPr="00C95A39">
        <w:t xml:space="preserve"> </w:t>
      </w:r>
      <w:proofErr w:type="spellStart"/>
      <w:r w:rsidRPr="00C95A39">
        <w:t>Word</w:t>
      </w:r>
      <w:proofErr w:type="spellEnd"/>
      <w:r w:rsidR="002D0D7E">
        <w:t xml:space="preserve"> </w:t>
      </w:r>
      <w:r w:rsidRPr="00C95A39">
        <w:t xml:space="preserve">следующие материалы: </w:t>
      </w:r>
    </w:p>
    <w:p w:rsidR="004042CA" w:rsidRPr="00C95A39" w:rsidRDefault="00B9065C" w:rsidP="00A52723">
      <w:pPr>
        <w:ind w:firstLine="709"/>
        <w:jc w:val="both"/>
      </w:pPr>
      <w:r w:rsidRPr="00C95A39">
        <w:lastRenderedPageBreak/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B8737D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B8737D">
        <w:rPr>
          <w:b/>
          <w:i/>
        </w:rPr>
        <w:t xml:space="preserve">Оргкомитет оставляет за </w:t>
      </w:r>
      <w:r w:rsidR="00E45B22" w:rsidRPr="00B8737D">
        <w:rPr>
          <w:b/>
          <w:i/>
        </w:rPr>
        <w:t>собой</w:t>
      </w:r>
      <w:r w:rsidRPr="00B8737D">
        <w:rPr>
          <w:b/>
          <w:i/>
        </w:rPr>
        <w:t xml:space="preserve"> право не включать в сборник статьи, не соответствующие направлениям работы конференции</w:t>
      </w:r>
      <w:r w:rsidR="003F2D4A" w:rsidRPr="00B8737D">
        <w:rPr>
          <w:b/>
          <w:i/>
        </w:rPr>
        <w:t xml:space="preserve"> и оформленные не по правилам</w:t>
      </w:r>
      <w:r w:rsidRPr="00B8737D">
        <w:rPr>
          <w:b/>
          <w:i/>
        </w:rPr>
        <w:t>.</w:t>
      </w:r>
      <w:r w:rsidRPr="00B8737D">
        <w:t xml:space="preserve"> </w:t>
      </w:r>
    </w:p>
    <w:p w:rsidR="00A7640A" w:rsidRPr="00B8737D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:rsidR="004042CA" w:rsidRDefault="004042CA" w:rsidP="004E362E">
      <w:pPr>
        <w:ind w:firstLine="709"/>
      </w:pPr>
      <w:proofErr w:type="gramStart"/>
      <w:r w:rsidRPr="00A45B61">
        <w:t>Ответственны</w:t>
      </w:r>
      <w:r w:rsidR="0042055D">
        <w:t>й</w:t>
      </w:r>
      <w:proofErr w:type="gramEnd"/>
      <w:r w:rsidRPr="00A45B61">
        <w:t xml:space="preserve">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714126" w:rsidRDefault="00A7640A" w:rsidP="00063F14">
      <w:pPr>
        <w:tabs>
          <w:tab w:val="left" w:pos="8116"/>
        </w:tabs>
        <w:ind w:right="-98" w:firstLine="709"/>
      </w:pPr>
      <w:r w:rsidRPr="00BC144D">
        <w:rPr>
          <w:b/>
        </w:rPr>
        <w:t>Иваньо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proofErr w:type="gramStart"/>
      <w:r w:rsidRPr="00063F14">
        <w:rPr>
          <w:lang w:val="en-US"/>
        </w:rPr>
        <w:t>e-mail</w:t>
      </w:r>
      <w:proofErr w:type="gramEnd"/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B8737D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B8737D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B8737D" w:rsidRPr="00B8737D">
        <w:t>15</w:t>
      </w:r>
      <w:r w:rsidR="00B8737D">
        <w:t xml:space="preserve"> </w:t>
      </w:r>
      <w:r w:rsidR="006673F1">
        <w:t>ноября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:rsidR="000747D4" w:rsidRPr="000747D4" w:rsidRDefault="00B8737D" w:rsidP="004E362E">
      <w:pPr>
        <w:ind w:firstLine="708"/>
        <w:jc w:val="both"/>
      </w:pPr>
      <w:r>
        <w:t xml:space="preserve">Круглый стол состоится </w:t>
      </w:r>
      <w:r w:rsidRPr="00B8737D">
        <w:t>1</w:t>
      </w:r>
      <w:r w:rsidR="00602B2D">
        <w:t>6</w:t>
      </w:r>
      <w:r w:rsidR="000747D4">
        <w:t xml:space="preserve"> </w:t>
      </w:r>
      <w:r w:rsidR="006673F1">
        <w:t>ноября</w:t>
      </w:r>
      <w:r>
        <w:t xml:space="preserve"> </w:t>
      </w:r>
      <w:r w:rsidR="00D8348A">
        <w:t>в 1</w:t>
      </w:r>
      <w:r>
        <w:t>0</w:t>
      </w:r>
      <w:r w:rsidR="000747D4">
        <w:rPr>
          <w:vertAlign w:val="superscript"/>
        </w:rPr>
        <w:t>00</w:t>
      </w:r>
      <w:r w:rsidR="000747D4">
        <w:t>, в ауд. 429.</w:t>
      </w:r>
    </w:p>
    <w:p w:rsidR="00A47221" w:rsidRDefault="00A47221" w:rsidP="004E362E">
      <w:pPr>
        <w:ind w:firstLine="708"/>
        <w:jc w:val="both"/>
        <w:rPr>
          <w:b/>
          <w:bCs/>
          <w:color w:val="000000"/>
        </w:rPr>
      </w:pPr>
      <w:r w:rsidRPr="00D16FF9">
        <w:t>Оплата командировочных расходов</w:t>
      </w:r>
      <w:r w:rsidR="0005265D">
        <w:rPr>
          <w:color w:val="000000"/>
        </w:rPr>
        <w:t xml:space="preserve"> осуще</w:t>
      </w:r>
      <w:r>
        <w:rPr>
          <w:color w:val="000000"/>
        </w:rPr>
        <w:t>ствляется направляющей стороной.</w:t>
      </w:r>
    </w:p>
    <w:p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95A39">
        <w:rPr>
          <w:b/>
          <w:i/>
          <w:color w:val="000000"/>
        </w:rPr>
        <w:t>О времени приезда и виде транспорта (самолет, поезд) просьба сообщить дополнительно.</w:t>
      </w:r>
    </w:p>
    <w:p w:rsidR="00CE65EA" w:rsidRDefault="00CE65EA" w:rsidP="0039580C">
      <w:pPr>
        <w:shd w:val="clear" w:color="auto" w:fill="FFFFFF"/>
        <w:jc w:val="both"/>
      </w:pPr>
    </w:p>
    <w:p w:rsidR="00451CAC" w:rsidRPr="00102D52" w:rsidRDefault="00451CAC" w:rsidP="00451CAC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102D52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ОРГАНИЗАЦИОННЫЙ КОМИТЕТ</w:t>
      </w:r>
    </w:p>
    <w:p w:rsidR="00D91DA3" w:rsidRPr="003F2D4A" w:rsidRDefault="00D91DA3" w:rsidP="004E362E">
      <w:pPr>
        <w:ind w:right="-98"/>
        <w:jc w:val="center"/>
        <w:rPr>
          <w:b/>
          <w:highlight w:val="yellow"/>
        </w:rPr>
      </w:pPr>
    </w:p>
    <w:p w:rsidR="00102D52" w:rsidRPr="000B707C" w:rsidRDefault="005C7C95" w:rsidP="00451CAC">
      <w:pPr>
        <w:jc w:val="both"/>
      </w:pPr>
      <w:r w:rsidRPr="000B707C">
        <w:rPr>
          <w:b/>
        </w:rPr>
        <w:t>Председатель</w:t>
      </w:r>
      <w:r w:rsidRPr="000B707C">
        <w:t xml:space="preserve"> </w:t>
      </w:r>
      <w:r w:rsidR="00C32550" w:rsidRPr="000B707C">
        <w:t xml:space="preserve">       </w:t>
      </w:r>
      <w:proofErr w:type="spellStart"/>
      <w:r w:rsidR="003D4E27" w:rsidRPr="000B707C">
        <w:rPr>
          <w:b/>
        </w:rPr>
        <w:t>Вашукевич</w:t>
      </w:r>
      <w:proofErr w:type="spellEnd"/>
      <w:r w:rsidR="003D4E27" w:rsidRPr="000B707C">
        <w:rPr>
          <w:b/>
        </w:rPr>
        <w:t xml:space="preserve"> Ю. Е.</w:t>
      </w:r>
      <w:r w:rsidR="003D4E27" w:rsidRPr="000B707C">
        <w:t xml:space="preserve"> – ректор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:rsidR="00024EC3" w:rsidRPr="000B707C" w:rsidRDefault="00024EC3" w:rsidP="00024EC3">
      <w:pPr>
        <w:jc w:val="both"/>
        <w:rPr>
          <w:sz w:val="23"/>
          <w:szCs w:val="23"/>
        </w:rPr>
      </w:pPr>
      <w:r w:rsidRPr="000B707C">
        <w:rPr>
          <w:b/>
        </w:rPr>
        <w:t>Сопредседател</w:t>
      </w:r>
      <w:r w:rsidR="00FA124C" w:rsidRPr="000B707C">
        <w:rPr>
          <w:b/>
        </w:rPr>
        <w:t>ь</w:t>
      </w:r>
      <w:r w:rsidRPr="000B707C">
        <w:rPr>
          <w:b/>
        </w:rPr>
        <w:t xml:space="preserve">  </w:t>
      </w:r>
      <w:r w:rsidR="005B071F" w:rsidRPr="000B707C">
        <w:rPr>
          <w:b/>
        </w:rPr>
        <w:t xml:space="preserve">  </w:t>
      </w:r>
      <w:r w:rsidRPr="000B707C">
        <w:rPr>
          <w:b/>
        </w:rPr>
        <w:t xml:space="preserve">Сумароков И. П.  </w:t>
      </w:r>
      <w:r w:rsidRPr="000B707C">
        <w:t>–</w:t>
      </w:r>
      <w:r w:rsidRPr="000B707C">
        <w:rPr>
          <w:b/>
        </w:rPr>
        <w:t xml:space="preserve"> </w:t>
      </w:r>
      <w:r w:rsidRPr="000B707C">
        <w:rPr>
          <w:sz w:val="23"/>
          <w:szCs w:val="23"/>
        </w:rPr>
        <w:t>министр сельск</w:t>
      </w:r>
      <w:r w:rsidR="000B707C" w:rsidRPr="000B707C">
        <w:rPr>
          <w:sz w:val="23"/>
          <w:szCs w:val="23"/>
        </w:rPr>
        <w:t>ого хозяйства Иркутской области</w:t>
      </w:r>
      <w:r w:rsidRPr="000B707C">
        <w:rPr>
          <w:sz w:val="23"/>
          <w:szCs w:val="23"/>
        </w:rPr>
        <w:t xml:space="preserve">  </w:t>
      </w:r>
    </w:p>
    <w:p w:rsidR="005C7C95" w:rsidRPr="000B707C" w:rsidRDefault="005C7C95" w:rsidP="00451CAC">
      <w:pPr>
        <w:jc w:val="both"/>
      </w:pPr>
      <w:r w:rsidRPr="000B707C">
        <w:t>Зам. председателя</w:t>
      </w:r>
      <w:r w:rsidR="000B707C" w:rsidRPr="000B707C">
        <w:t>:</w:t>
      </w:r>
      <w:r w:rsidRPr="000B707C">
        <w:t xml:space="preserve">  </w:t>
      </w:r>
      <w:proofErr w:type="spellStart"/>
      <w:r w:rsidR="003D4E27" w:rsidRPr="000B707C">
        <w:rPr>
          <w:b/>
        </w:rPr>
        <w:t>Иваньо</w:t>
      </w:r>
      <w:proofErr w:type="spellEnd"/>
      <w:r w:rsidR="003D4E27" w:rsidRPr="000B707C">
        <w:rPr>
          <w:b/>
        </w:rPr>
        <w:t xml:space="preserve"> Я. М.</w:t>
      </w:r>
      <w:r w:rsidR="003D4E27" w:rsidRPr="000B707C">
        <w:t xml:space="preserve"> –</w:t>
      </w:r>
      <w:r w:rsidR="000B707C" w:rsidRPr="000B707C">
        <w:t xml:space="preserve"> </w:t>
      </w:r>
      <w:r w:rsidR="003D4E27" w:rsidRPr="000B707C">
        <w:t xml:space="preserve">проректор по научной работе </w:t>
      </w:r>
      <w:proofErr w:type="gramStart"/>
      <w:r w:rsidR="003D4E27" w:rsidRPr="000B707C">
        <w:t>Иркутского</w:t>
      </w:r>
      <w:proofErr w:type="gramEnd"/>
      <w:r w:rsidR="003D4E27" w:rsidRPr="000B707C">
        <w:t xml:space="preserve"> ГАУ</w:t>
      </w:r>
    </w:p>
    <w:p w:rsidR="000B707C" w:rsidRPr="000B707C" w:rsidRDefault="000B707C" w:rsidP="00451CAC">
      <w:pPr>
        <w:jc w:val="both"/>
      </w:pPr>
      <w:r w:rsidRPr="000B707C">
        <w:t xml:space="preserve">                                </w:t>
      </w:r>
      <w:r w:rsidR="006C390A">
        <w:t xml:space="preserve">   </w:t>
      </w:r>
      <w:proofErr w:type="spellStart"/>
      <w:r w:rsidRPr="000B707C">
        <w:rPr>
          <w:b/>
        </w:rPr>
        <w:t>Репецкий</w:t>
      </w:r>
      <w:proofErr w:type="spellEnd"/>
      <w:r w:rsidRPr="000B707C">
        <w:rPr>
          <w:b/>
        </w:rPr>
        <w:t xml:space="preserve"> О. В.</w:t>
      </w:r>
      <w:r w:rsidRPr="000B707C">
        <w:t xml:space="preserve"> – проректор по международным связям </w:t>
      </w:r>
      <w:proofErr w:type="gramStart"/>
      <w:r w:rsidRPr="000B707C">
        <w:t>Иркутского</w:t>
      </w:r>
      <w:proofErr w:type="gramEnd"/>
      <w:r w:rsidRPr="000B707C">
        <w:t xml:space="preserve"> ГАУ</w:t>
      </w:r>
    </w:p>
    <w:p w:rsidR="005C7C95" w:rsidRPr="000B707C" w:rsidRDefault="005C7C95" w:rsidP="00102D52">
      <w:pPr>
        <w:jc w:val="both"/>
      </w:pPr>
      <w:r w:rsidRPr="000B707C">
        <w:t xml:space="preserve">Ученый секретарь конференции  </w:t>
      </w:r>
      <w:r w:rsidR="00102D52" w:rsidRPr="000B707C">
        <w:rPr>
          <w:b/>
        </w:rPr>
        <w:t>Иляшевич Д.И</w:t>
      </w:r>
      <w:r w:rsidR="00102D52" w:rsidRPr="000B707C">
        <w:t xml:space="preserve">. </w:t>
      </w:r>
      <w:r w:rsidR="00FB3882" w:rsidRPr="000B707C">
        <w:t xml:space="preserve">- </w:t>
      </w:r>
      <w:r w:rsidR="00102D52" w:rsidRPr="000B707C">
        <w:t xml:space="preserve">председатель </w:t>
      </w:r>
      <w:r w:rsidRPr="000B707C">
        <w:t xml:space="preserve">совета молодых ученых и </w:t>
      </w:r>
    </w:p>
    <w:p w:rsidR="00102D52" w:rsidRPr="000B707C" w:rsidRDefault="005C7C95" w:rsidP="00102D52">
      <w:pPr>
        <w:jc w:val="both"/>
      </w:pPr>
      <w:r w:rsidRPr="000B707C">
        <w:t xml:space="preserve">                                                    </w:t>
      </w:r>
      <w:r w:rsidR="00730556" w:rsidRPr="000B707C">
        <w:t xml:space="preserve"> </w:t>
      </w:r>
      <w:r w:rsidR="00296ED5" w:rsidRPr="000B707C">
        <w:t xml:space="preserve"> </w:t>
      </w:r>
      <w:r w:rsidRPr="000B707C">
        <w:t>студентов</w:t>
      </w:r>
      <w:r w:rsidR="00102D52" w:rsidRPr="000B707C">
        <w:t xml:space="preserve"> </w:t>
      </w:r>
      <w:proofErr w:type="gramStart"/>
      <w:r w:rsidR="00102D52" w:rsidRPr="000B707C">
        <w:t>Иркутского</w:t>
      </w:r>
      <w:proofErr w:type="gramEnd"/>
      <w:r w:rsidR="00102D52" w:rsidRPr="000B707C">
        <w:t xml:space="preserve"> ГАУ</w:t>
      </w:r>
    </w:p>
    <w:p w:rsidR="003D4E27" w:rsidRPr="000B707C" w:rsidRDefault="000D3303" w:rsidP="00102D52">
      <w:pPr>
        <w:rPr>
          <w:b/>
        </w:rPr>
      </w:pPr>
      <w:r w:rsidRPr="000B707C">
        <w:t>Члены:</w:t>
      </w:r>
      <w:r w:rsidR="00F8624A" w:rsidRPr="000B707C">
        <w:t xml:space="preserve"> </w:t>
      </w:r>
      <w:r w:rsidR="002A67DE">
        <w:t xml:space="preserve"> </w:t>
      </w:r>
      <w:proofErr w:type="spellStart"/>
      <w:r w:rsidR="003D4E27" w:rsidRPr="000B707C">
        <w:rPr>
          <w:b/>
        </w:rPr>
        <w:t>Чубарева</w:t>
      </w:r>
      <w:proofErr w:type="spellEnd"/>
      <w:r w:rsidR="003D4E27" w:rsidRPr="000B707C">
        <w:rPr>
          <w:b/>
        </w:rPr>
        <w:t xml:space="preserve"> М.В.</w:t>
      </w:r>
      <w:r w:rsidR="003D4E27" w:rsidRPr="000B707C">
        <w:t xml:space="preserve">  – зав. научно-информационного отдела Иркутского ГАУ</w:t>
      </w:r>
      <w:r w:rsidR="003D4E27" w:rsidRPr="000B707C">
        <w:rPr>
          <w:b/>
        </w:rPr>
        <w:t xml:space="preserve"> </w:t>
      </w:r>
    </w:p>
    <w:p w:rsidR="00102D52" w:rsidRPr="000B707C" w:rsidRDefault="003D4E27" w:rsidP="00102D52">
      <w:pPr>
        <w:rPr>
          <w:sz w:val="23"/>
          <w:szCs w:val="23"/>
        </w:rPr>
      </w:pPr>
      <w:r w:rsidRPr="000B707C">
        <w:rPr>
          <w:b/>
        </w:rPr>
        <w:t xml:space="preserve">             </w:t>
      </w:r>
      <w:r w:rsidR="002A67DE">
        <w:rPr>
          <w:b/>
        </w:rPr>
        <w:t xml:space="preserve"> </w:t>
      </w:r>
      <w:r w:rsidR="00F8624A" w:rsidRPr="000B707C">
        <w:rPr>
          <w:b/>
        </w:rPr>
        <w:t>Зайцев А.М.</w:t>
      </w:r>
      <w:r w:rsidR="00102D52" w:rsidRPr="000B707C">
        <w:rPr>
          <w:sz w:val="23"/>
          <w:szCs w:val="23"/>
        </w:rPr>
        <w:t xml:space="preserve"> </w:t>
      </w:r>
      <w:r w:rsidR="00730556" w:rsidRPr="000B707C">
        <w:rPr>
          <w:sz w:val="23"/>
          <w:szCs w:val="23"/>
        </w:rPr>
        <w:t>-</w:t>
      </w:r>
      <w:r w:rsidR="00F8624A" w:rsidRPr="000B707C">
        <w:rPr>
          <w:sz w:val="23"/>
          <w:szCs w:val="23"/>
        </w:rPr>
        <w:t xml:space="preserve"> </w:t>
      </w:r>
      <w:r w:rsidR="00102D52" w:rsidRPr="000B707C">
        <w:rPr>
          <w:sz w:val="23"/>
          <w:szCs w:val="23"/>
        </w:rPr>
        <w:t>декан агрономического факультета Иркутского ГАУ</w:t>
      </w:r>
    </w:p>
    <w:p w:rsidR="00C32550" w:rsidRPr="000B707C" w:rsidRDefault="000D3303" w:rsidP="00C32550">
      <w:pPr>
        <w:ind w:right="-286"/>
        <w:jc w:val="both"/>
      </w:pPr>
      <w:r w:rsidRPr="000B707C">
        <w:t xml:space="preserve">            </w:t>
      </w:r>
      <w:r w:rsidR="00F8624A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Ильина О.П.</w:t>
      </w:r>
      <w:r w:rsidR="00C32550" w:rsidRPr="000B707C">
        <w:t xml:space="preserve">  </w:t>
      </w:r>
      <w:r w:rsidR="00730556" w:rsidRPr="000B707C">
        <w:t xml:space="preserve">- </w:t>
      </w:r>
      <w:r w:rsidR="00C32550" w:rsidRPr="000B707C">
        <w:t>декан факультета биотехнологии и ветеринарной медицины</w:t>
      </w:r>
      <w:r w:rsidR="00F8624A" w:rsidRPr="000B707C">
        <w:t xml:space="preserve"> </w:t>
      </w:r>
      <w:r w:rsidR="00C32550" w:rsidRPr="000B707C">
        <w:t>Иркутского ГАУ</w:t>
      </w:r>
    </w:p>
    <w:p w:rsidR="00C32550" w:rsidRPr="000B707C" w:rsidRDefault="00C32550" w:rsidP="00102D52">
      <w:pPr>
        <w:ind w:right="-286"/>
        <w:jc w:val="both"/>
        <w:rPr>
          <w:b/>
        </w:rPr>
      </w:pPr>
      <w:r w:rsidRPr="000B707C">
        <w:rPr>
          <w:b/>
        </w:rPr>
        <w:t xml:space="preserve">           </w:t>
      </w:r>
      <w:r w:rsidR="00F8624A" w:rsidRPr="000B707C">
        <w:rPr>
          <w:b/>
        </w:rPr>
        <w:t xml:space="preserve"> </w:t>
      </w:r>
      <w:r w:rsidR="002A67DE">
        <w:rPr>
          <w:b/>
        </w:rPr>
        <w:t xml:space="preserve"> </w:t>
      </w:r>
      <w:r w:rsidR="00F8624A" w:rsidRPr="000B707C">
        <w:rPr>
          <w:b/>
        </w:rPr>
        <w:t>Ильин С.Н.</w:t>
      </w:r>
      <w:r w:rsidRPr="000B707C">
        <w:t xml:space="preserve"> </w:t>
      </w:r>
      <w:r w:rsidR="00730556" w:rsidRPr="000B707C">
        <w:t xml:space="preserve">- </w:t>
      </w:r>
      <w:r w:rsidRPr="000B707C">
        <w:t>декан инженерного факультета Иркутского ГАУ</w:t>
      </w:r>
      <w:r w:rsidRPr="000B707C">
        <w:rPr>
          <w:b/>
        </w:rPr>
        <w:t xml:space="preserve"> </w:t>
      </w:r>
    </w:p>
    <w:p w:rsidR="00102D52" w:rsidRPr="000B707C" w:rsidRDefault="00C32550" w:rsidP="00102D52">
      <w:pPr>
        <w:ind w:right="-286"/>
        <w:jc w:val="both"/>
      </w:pPr>
      <w:r w:rsidRPr="000B707C">
        <w:rPr>
          <w:b/>
        </w:rPr>
        <w:t xml:space="preserve">            </w:t>
      </w:r>
      <w:r w:rsidR="002A67DE">
        <w:rPr>
          <w:b/>
        </w:rPr>
        <w:t xml:space="preserve"> </w:t>
      </w:r>
      <w:proofErr w:type="spellStart"/>
      <w:r w:rsidR="00F8624A" w:rsidRPr="000B707C">
        <w:rPr>
          <w:b/>
        </w:rPr>
        <w:t>Федурина</w:t>
      </w:r>
      <w:proofErr w:type="spellEnd"/>
      <w:r w:rsidR="00F8624A" w:rsidRPr="000B707C">
        <w:rPr>
          <w:b/>
        </w:rPr>
        <w:t xml:space="preserve"> Н.И.</w:t>
      </w:r>
      <w:r w:rsidR="00102D52" w:rsidRPr="000B707C">
        <w:t xml:space="preserve"> </w:t>
      </w:r>
      <w:r w:rsidR="00730556" w:rsidRPr="000B707C">
        <w:t xml:space="preserve">- </w:t>
      </w:r>
      <w:r w:rsidR="00F8624A" w:rsidRPr="000B707C">
        <w:t>директор</w:t>
      </w:r>
      <w:r w:rsidR="00102D52" w:rsidRPr="000B707C">
        <w:t xml:space="preserve"> </w:t>
      </w:r>
      <w:r w:rsidR="000D3303" w:rsidRPr="000B707C">
        <w:t>ИЭУПИ</w:t>
      </w:r>
      <w:r w:rsidR="00102D52" w:rsidRPr="000B707C">
        <w:t xml:space="preserve"> </w:t>
      </w:r>
      <w:proofErr w:type="gramStart"/>
      <w:r w:rsidR="00102D52" w:rsidRPr="000B707C">
        <w:t>Иркутского</w:t>
      </w:r>
      <w:proofErr w:type="gramEnd"/>
      <w:r w:rsidR="00102D52" w:rsidRPr="000B707C">
        <w:t xml:space="preserve"> ГАУ</w:t>
      </w:r>
    </w:p>
    <w:p w:rsidR="00C32550" w:rsidRPr="000B707C" w:rsidRDefault="000D3303" w:rsidP="00C32550">
      <w:pPr>
        <w:ind w:right="-286"/>
        <w:jc w:val="both"/>
      </w:pPr>
      <w:r w:rsidRPr="000B707C">
        <w:t xml:space="preserve">           </w:t>
      </w:r>
      <w:r w:rsidR="00993F4D" w:rsidRPr="000B707C">
        <w:t xml:space="preserve"> </w:t>
      </w:r>
      <w:r w:rsidR="002A67DE">
        <w:t xml:space="preserve"> </w:t>
      </w:r>
      <w:r w:rsidR="00F8624A" w:rsidRPr="000B707C">
        <w:rPr>
          <w:b/>
        </w:rPr>
        <w:t>Саловаров В.О.</w:t>
      </w:r>
      <w:r w:rsidR="00C32550" w:rsidRPr="000B707C">
        <w:t xml:space="preserve"> </w:t>
      </w:r>
      <w:r w:rsidR="00730556" w:rsidRPr="000B707C">
        <w:t xml:space="preserve">- </w:t>
      </w:r>
      <w:r w:rsidR="00C32550" w:rsidRPr="000B707C">
        <w:t xml:space="preserve">директор </w:t>
      </w:r>
      <w:r w:rsidR="00F8624A" w:rsidRPr="000B707C">
        <w:t xml:space="preserve">ИУПР </w:t>
      </w:r>
      <w:proofErr w:type="gramStart"/>
      <w:r w:rsidR="00F8624A" w:rsidRPr="000B707C">
        <w:t>Иркутского</w:t>
      </w:r>
      <w:proofErr w:type="gramEnd"/>
      <w:r w:rsidR="00F8624A" w:rsidRPr="000B707C">
        <w:t xml:space="preserve"> ГАУ</w:t>
      </w:r>
    </w:p>
    <w:p w:rsidR="00102D52" w:rsidRPr="00526106" w:rsidRDefault="00C32550" w:rsidP="00C32550">
      <w:pPr>
        <w:ind w:right="-286"/>
        <w:jc w:val="both"/>
      </w:pPr>
      <w:r w:rsidRPr="000B707C">
        <w:rPr>
          <w:b/>
        </w:rPr>
        <w:t xml:space="preserve">           </w:t>
      </w:r>
      <w:r w:rsidR="002A67DE">
        <w:rPr>
          <w:b/>
        </w:rPr>
        <w:t xml:space="preserve"> </w:t>
      </w:r>
      <w:r w:rsidRPr="000B707C">
        <w:rPr>
          <w:b/>
        </w:rPr>
        <w:t xml:space="preserve"> </w:t>
      </w:r>
      <w:r w:rsidR="00FA124C" w:rsidRPr="000B707C">
        <w:rPr>
          <w:b/>
        </w:rPr>
        <w:t>Иванов Д. А.</w:t>
      </w:r>
      <w:r w:rsidRPr="000B707C">
        <w:t xml:space="preserve">  </w:t>
      </w:r>
      <w:r w:rsidR="00730556" w:rsidRPr="000B707C">
        <w:t xml:space="preserve">- </w:t>
      </w:r>
      <w:r w:rsidRPr="000B707C">
        <w:t>декан энергетического факультета Иркутского ГАУ</w:t>
      </w: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5B1193" w:rsidRDefault="005B1193" w:rsidP="004E362E">
      <w:pPr>
        <w:ind w:right="-98"/>
        <w:jc w:val="center"/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Default="00101BF4" w:rsidP="004E362E">
      <w:pPr>
        <w:ind w:right="-98"/>
        <w:jc w:val="center"/>
        <w:rPr>
          <w:b/>
        </w:rPr>
      </w:pP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1C1BD6" w:rsidRDefault="001C1BD6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291FCC" w:rsidRDefault="00291FC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8F14CB" w:rsidRPr="00896BC6" w:rsidRDefault="008F14CB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451CAC"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proofErr w:type="spellStart"/>
      <w:r w:rsidRPr="00C95A39">
        <w:rPr>
          <w:rStyle w:val="140pt"/>
          <w:sz w:val="24"/>
          <w:szCs w:val="24"/>
        </w:rPr>
        <w:t>почтовыи</w:t>
      </w:r>
      <w:proofErr w:type="spellEnd"/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5B1193" w:rsidRPr="00180536" w:rsidRDefault="005B1193" w:rsidP="005B1193">
      <w:pPr>
        <w:pStyle w:val="140"/>
        <w:shd w:val="clear" w:color="auto" w:fill="auto"/>
        <w:tabs>
          <w:tab w:val="left" w:pos="720"/>
        </w:tabs>
        <w:spacing w:line="240" w:lineRule="auto"/>
        <w:ind w:left="284" w:right="20"/>
        <w:jc w:val="both"/>
        <w:rPr>
          <w:spacing w:val="0"/>
          <w:sz w:val="24"/>
          <w:szCs w:val="24"/>
          <w:shd w:val="clear" w:color="auto" w:fill="FFFFFF"/>
        </w:rPr>
      </w:pPr>
    </w:p>
    <w:p w:rsidR="00C55976" w:rsidRPr="00BE00F4" w:rsidRDefault="00C55976" w:rsidP="004E362E">
      <w:pPr>
        <w:spacing w:before="100" w:beforeAutospacing="1" w:after="100" w:afterAutospacing="1"/>
        <w:jc w:val="center"/>
      </w:pPr>
      <w:r w:rsidRPr="00BE00F4">
        <w:rPr>
          <w:b/>
          <w:bCs/>
        </w:rPr>
        <w:t>Авторское заявление</w:t>
      </w:r>
    </w:p>
    <w:p w:rsidR="00B8737D" w:rsidRDefault="00C55976" w:rsidP="00B8737D">
      <w:pPr>
        <w:ind w:firstLine="709"/>
        <w:jc w:val="center"/>
      </w:pPr>
      <w:r w:rsidRPr="00BE00F4">
        <w:t xml:space="preserve">Прошу рассмотреть и опубликовать статью в </w:t>
      </w:r>
      <w:r w:rsidR="00416C1D">
        <w:t xml:space="preserve">материалах </w:t>
      </w:r>
      <w:r w:rsidR="00B8737D" w:rsidRPr="00B8737D">
        <w:t>Всероссийской</w:t>
      </w:r>
      <w:r w:rsidR="004B5397" w:rsidRPr="00DB1364">
        <w:t xml:space="preserve"> научно-практической конференции</w:t>
      </w:r>
      <w:r w:rsidR="00416C1D">
        <w:t>,</w:t>
      </w:r>
      <w:r w:rsidR="004B5397" w:rsidRPr="00DB1364">
        <w:t xml:space="preserve"> </w:t>
      </w:r>
      <w:r w:rsidR="00B8737D">
        <w:t>посвященной</w:t>
      </w:r>
      <w:r w:rsidR="00B8737D" w:rsidRPr="00B8737D">
        <w:t xml:space="preserve"> памяти А.А. Ежевского </w:t>
      </w:r>
    </w:p>
    <w:p w:rsidR="00B8737D" w:rsidRDefault="00B8737D" w:rsidP="00B8737D">
      <w:pPr>
        <w:ind w:firstLine="709"/>
        <w:jc w:val="center"/>
        <w:rPr>
          <w:b/>
        </w:rPr>
      </w:pPr>
      <w:r w:rsidRPr="00B8737D">
        <w:rPr>
          <w:b/>
        </w:rPr>
        <w:t>«Проблемы и перспективы устойчивого развития АПК»</w:t>
      </w:r>
      <w:r>
        <w:rPr>
          <w:b/>
        </w:rPr>
        <w:t xml:space="preserve"> </w:t>
      </w:r>
    </w:p>
    <w:p w:rsidR="00B8737D" w:rsidRPr="00B8737D" w:rsidRDefault="00B8737D" w:rsidP="00B8737D">
      <w:pPr>
        <w:ind w:firstLine="709"/>
        <w:jc w:val="center"/>
      </w:pPr>
      <w:r w:rsidRPr="00B8737D">
        <w:rPr>
          <w:b/>
        </w:rPr>
        <w:t>15-16 ноября 2018 года.</w:t>
      </w:r>
    </w:p>
    <w:p w:rsidR="00C55976" w:rsidRPr="00B8737D" w:rsidRDefault="00C55976" w:rsidP="004B5397">
      <w:pPr>
        <w:ind w:firstLine="708"/>
        <w:jc w:val="both"/>
        <w:rPr>
          <w:b/>
        </w:rPr>
      </w:pPr>
    </w:p>
    <w:p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B8737D" w:rsidRDefault="00B8737D" w:rsidP="00754A49">
      <w:pPr>
        <w:pStyle w:val="Default"/>
        <w:ind w:firstLine="709"/>
      </w:pPr>
    </w:p>
    <w:p w:rsidR="005B1193" w:rsidRPr="00B8737D" w:rsidRDefault="005B1193" w:rsidP="004E362E">
      <w:pPr>
        <w:jc w:val="center"/>
        <w:rPr>
          <w:b/>
          <w:i/>
          <w:sz w:val="28"/>
          <w:szCs w:val="28"/>
        </w:rPr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:rsidR="00075151" w:rsidRPr="00E45B22" w:rsidRDefault="00357AA4" w:rsidP="00E45B22">
      <w:pPr>
        <w:jc w:val="center"/>
        <w:rPr>
          <w:i/>
        </w:rPr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72365A">
        <w:rPr>
          <w:b/>
          <w:spacing w:val="-4"/>
        </w:rPr>
        <w:t>150-200 слов</w:t>
      </w:r>
      <w:r w:rsidR="0072365A" w:rsidRPr="0072365A">
        <w:rPr>
          <w:b/>
          <w:spacing w:val="-4"/>
        </w:rPr>
        <w:t>)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D11189" w:rsidRPr="00B8737D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075151" w:rsidRPr="00B8737D" w:rsidRDefault="00357AA4" w:rsidP="004E362E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Agrarian 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 xml:space="preserve">, </w:t>
      </w:r>
      <w:r w:rsidRPr="009D61C7">
        <w:rPr>
          <w:i/>
          <w:lang w:val="en-US"/>
        </w:rPr>
        <w:t>Irkutsk, Russia</w:t>
      </w:r>
    </w:p>
    <w:p w:rsidR="004E362E" w:rsidRPr="00B8737D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7A65C0">
        <w:rPr>
          <w:b/>
          <w:spacing w:val="-4"/>
          <w:lang w:bidi="he-IL"/>
        </w:rPr>
        <w:t>проростков (2017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4F5AA6" w:rsidRDefault="004F5AA6" w:rsidP="00713CDB">
      <w:pPr>
        <w:numPr>
          <w:ilvl w:val="0"/>
          <w:numId w:val="17"/>
        </w:numPr>
        <w:tabs>
          <w:tab w:val="left" w:pos="142"/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>
        <w:t xml:space="preserve">зд-во </w:t>
      </w:r>
      <w:proofErr w:type="spellStart"/>
      <w:r>
        <w:t>ИрГСХА</w:t>
      </w:r>
      <w:proofErr w:type="spellEnd"/>
      <w:r>
        <w:t>. -</w:t>
      </w:r>
      <w:r w:rsidRPr="00025953">
        <w:t xml:space="preserve"> 2000. – 462 с.</w:t>
      </w:r>
    </w:p>
    <w:p w:rsidR="00D11189" w:rsidRDefault="00D11189" w:rsidP="004E362E">
      <w:pPr>
        <w:jc w:val="center"/>
        <w:rPr>
          <w:spacing w:val="-4"/>
        </w:rPr>
      </w:pPr>
    </w:p>
    <w:p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r w:rsidRPr="00C579FA">
        <w:rPr>
          <w:spacing w:val="-4"/>
          <w:lang w:val="en-US"/>
        </w:rPr>
        <w:t>Vlasenko</w:t>
      </w:r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ot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</w:t>
      </w:r>
      <w:r w:rsidRPr="00C579FA">
        <w:rPr>
          <w:spacing w:val="-4"/>
          <w:lang w:val="en-US"/>
        </w:rPr>
        <w:t>Vlasenko</w:t>
      </w:r>
      <w:r w:rsidRPr="00D25E82">
        <w:rPr>
          <w:spacing w:val="-4"/>
          <w:lang w:val="en-US"/>
        </w:rPr>
        <w:t xml:space="preserve"> //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Pr="00D25E82">
        <w:rPr>
          <w:spacing w:val="-4"/>
          <w:lang w:val="en-US"/>
        </w:rPr>
        <w:t xml:space="preserve">. – 2011. </w:t>
      </w:r>
      <w:proofErr w:type="gramStart"/>
      <w:r w:rsidRPr="00D25E82">
        <w:rPr>
          <w:spacing w:val="-4"/>
          <w:lang w:val="en-US"/>
        </w:rPr>
        <w:t>- №5.</w:t>
      </w:r>
      <w:proofErr w:type="gramEnd"/>
      <w:r w:rsidRPr="00D25E82">
        <w:rPr>
          <w:spacing w:val="-4"/>
          <w:lang w:val="en-US"/>
        </w:rPr>
        <w:t xml:space="preserve"> – </w:t>
      </w:r>
      <w:r w:rsidRPr="00C579FA">
        <w:rPr>
          <w:spacing w:val="-4"/>
          <w:lang w:val="en-US"/>
        </w:rPr>
        <w:t>S</w:t>
      </w:r>
      <w:r w:rsidRPr="00D25E82">
        <w:rPr>
          <w:spacing w:val="-4"/>
          <w:lang w:val="en-US"/>
        </w:rPr>
        <w:t>. 24-26.</w:t>
      </w:r>
    </w:p>
    <w:p w:rsidR="00C579FA" w:rsidRPr="005B1193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2.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Modernizaciya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Modernization</w:t>
      </w:r>
      <w:r w:rsid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proofErr w:type="spellStart"/>
      <w:proofErr w:type="gramStart"/>
      <w:r w:rsidRPr="00C579FA">
        <w:rPr>
          <w:spacing w:val="-4"/>
          <w:lang w:val="en-US"/>
        </w:rPr>
        <w:t>Svobodnaya</w:t>
      </w:r>
      <w:proofErr w:type="spellEnd"/>
      <w:r w:rsidR="005B1193" w:rsidRPr="005B1193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ehnciklopediya</w:t>
      </w:r>
      <w:proofErr w:type="spellEnd"/>
      <w:proofErr w:type="gramEnd"/>
      <w:r w:rsidRPr="00D25E82">
        <w:rPr>
          <w:spacing w:val="-4"/>
          <w:lang w:val="en-US"/>
        </w:rPr>
        <w:t xml:space="preserve"> [</w:t>
      </w:r>
      <w:proofErr w:type="spellStart"/>
      <w:r w:rsidR="00D25E82">
        <w:rPr>
          <w:spacing w:val="-4"/>
          <w:lang w:val="en-US"/>
        </w:rPr>
        <w:t>E</w:t>
      </w:r>
      <w:r w:rsidRPr="00C579FA">
        <w:rPr>
          <w:spacing w:val="-4"/>
          <w:lang w:val="en-US"/>
        </w:rPr>
        <w:t>lektronnyj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resurs</w:t>
      </w:r>
      <w:proofErr w:type="spellEnd"/>
      <w:r w:rsidRPr="00D25E82">
        <w:rPr>
          <w:spacing w:val="-4"/>
          <w:lang w:val="en-US"/>
        </w:rPr>
        <w:t xml:space="preserve">]. – </w:t>
      </w:r>
      <w:proofErr w:type="spellStart"/>
      <w:r w:rsidRPr="00C579FA">
        <w:rPr>
          <w:spacing w:val="-4"/>
          <w:lang w:val="en-US"/>
        </w:rPr>
        <w:t>Rezhim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dostupa</w:t>
      </w:r>
      <w:proofErr w:type="spellEnd"/>
      <w:r w:rsidRPr="00D25E82">
        <w:rPr>
          <w:spacing w:val="-4"/>
          <w:lang w:val="en-US"/>
        </w:rPr>
        <w:t xml:space="preserve">: </w:t>
      </w:r>
      <w:r w:rsidRPr="00C579FA">
        <w:rPr>
          <w:spacing w:val="-4"/>
          <w:lang w:val="en-US"/>
        </w:rPr>
        <w:t>http</w:t>
      </w:r>
      <w:r w:rsidRPr="00D25E82">
        <w:rPr>
          <w:spacing w:val="-4"/>
          <w:lang w:val="en-US"/>
        </w:rPr>
        <w:t xml:space="preserve"> // </w:t>
      </w:r>
      <w:r w:rsidRPr="00C579FA">
        <w:rPr>
          <w:spacing w:val="-4"/>
          <w:lang w:val="en-US"/>
        </w:rPr>
        <w:t>ru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wikipedia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org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wiki</w:t>
      </w:r>
      <w:r w:rsidRPr="00D25E82">
        <w:rPr>
          <w:spacing w:val="-4"/>
          <w:lang w:val="en-US"/>
        </w:rPr>
        <w:t xml:space="preserve">. </w:t>
      </w:r>
      <w:proofErr w:type="gramStart"/>
      <w:r w:rsidRPr="00D25E82">
        <w:rPr>
          <w:spacing w:val="-4"/>
          <w:lang w:val="en-US"/>
        </w:rPr>
        <w:t>– 4.11.2013.</w:t>
      </w:r>
      <w:proofErr w:type="gramEnd"/>
    </w:p>
    <w:p w:rsidR="00065A73" w:rsidRPr="00065A73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………………………………………………………………………………………………</w:t>
      </w:r>
    </w:p>
    <w:p w:rsidR="004E362E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SH.K. </w:t>
      </w:r>
      <w:proofErr w:type="spell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B8737D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C579FA" w:rsidRPr="00C579FA">
        <w:rPr>
          <w:spacing w:val="-4"/>
          <w:lang w:val="en-US"/>
        </w:rPr>
        <w:t xml:space="preserve">: </w:t>
      </w:r>
      <w:proofErr w:type="spellStart"/>
      <w:r w:rsidR="00C579FA" w:rsidRPr="00C579FA">
        <w:rPr>
          <w:spacing w:val="-4"/>
          <w:lang w:val="en-US"/>
        </w:rPr>
        <w:t>uch</w:t>
      </w:r>
      <w:proofErr w:type="spellEnd"/>
      <w:r w:rsidR="00C579FA" w:rsidRPr="00C579FA">
        <w:rPr>
          <w:spacing w:val="-4"/>
          <w:lang w:val="en-US"/>
        </w:rPr>
        <w:t xml:space="preserve">. </w:t>
      </w:r>
      <w:proofErr w:type="spellStart"/>
      <w:proofErr w:type="gramStart"/>
      <w:r w:rsidR="00C579FA" w:rsidRPr="00C579FA">
        <w:rPr>
          <w:spacing w:val="-4"/>
          <w:lang w:val="en-US"/>
        </w:rPr>
        <w:t>posobie</w:t>
      </w:r>
      <w:proofErr w:type="spellEnd"/>
      <w:proofErr w:type="gramEnd"/>
      <w:r w:rsidR="00C579FA" w:rsidRPr="00C579FA">
        <w:rPr>
          <w:spacing w:val="-4"/>
          <w:lang w:val="en-US"/>
        </w:rPr>
        <w:t xml:space="preserve"> / SH.K. </w:t>
      </w:r>
      <w:proofErr w:type="spellStart"/>
      <w:r w:rsidR="00C579FA" w:rsidRPr="00C579FA">
        <w:rPr>
          <w:spacing w:val="-4"/>
          <w:lang w:val="en-US"/>
        </w:rPr>
        <w:t>Husnidino</w:t>
      </w:r>
      <w:r w:rsidR="005B1193">
        <w:rPr>
          <w:spacing w:val="-4"/>
          <w:lang w:val="en-US"/>
        </w:rPr>
        <w:t>v</w:t>
      </w:r>
      <w:proofErr w:type="spellEnd"/>
      <w:r w:rsidR="005B1193">
        <w:rPr>
          <w:spacing w:val="-4"/>
          <w:lang w:val="en-US"/>
        </w:rPr>
        <w:t xml:space="preserve">, A.A. </w:t>
      </w:r>
      <w:proofErr w:type="spellStart"/>
      <w:r w:rsidR="005B1193">
        <w:rPr>
          <w:spacing w:val="-4"/>
          <w:lang w:val="en-US"/>
        </w:rPr>
        <w:t>Dolgopolov</w:t>
      </w:r>
      <w:proofErr w:type="spellEnd"/>
      <w:r w:rsidR="005B1193">
        <w:rPr>
          <w:spacing w:val="-4"/>
          <w:lang w:val="en-US"/>
        </w:rPr>
        <w:t xml:space="preserve">. – Irkutsk: </w:t>
      </w:r>
      <w:proofErr w:type="spellStart"/>
      <w:r w:rsidR="005B1193">
        <w:rPr>
          <w:spacing w:val="-4"/>
          <w:lang w:val="en-US"/>
        </w:rPr>
        <w:t>I</w:t>
      </w:r>
      <w:r w:rsidR="00C579FA" w:rsidRPr="00C579FA">
        <w:rPr>
          <w:spacing w:val="-4"/>
          <w:lang w:val="en-US"/>
        </w:rPr>
        <w:t>zd-vo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IrGSKHA</w:t>
      </w:r>
      <w:proofErr w:type="spellEnd"/>
      <w:r w:rsidR="00C579FA" w:rsidRPr="00C579FA">
        <w:rPr>
          <w:spacing w:val="-4"/>
          <w:lang w:val="en-US"/>
        </w:rPr>
        <w:t>. - 2000. – 462 s.</w:t>
      </w:r>
    </w:p>
    <w:p w:rsidR="004E362E" w:rsidRDefault="004E362E" w:rsidP="004E362E">
      <w:pPr>
        <w:jc w:val="center"/>
        <w:rPr>
          <w:spacing w:val="-4"/>
          <w:lang w:val="en-US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:rsidR="00102D52" w:rsidRPr="00102D52" w:rsidRDefault="00102D52" w:rsidP="00386E7A">
      <w:pPr>
        <w:contextualSpacing/>
        <w:rPr>
          <w:b/>
          <w:spacing w:val="-4"/>
          <w:sz w:val="28"/>
          <w:szCs w:val="28"/>
          <w:lang w:val="en-US"/>
        </w:rPr>
      </w:pPr>
    </w:p>
    <w:p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:rsidR="00526106" w:rsidRDefault="005E6A2E" w:rsidP="0072365A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agroecology,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D70E97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D70E97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D70E97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D70E97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D70E97">
        <w:rPr>
          <w:lang w:eastAsia="zh-CN"/>
        </w:rPr>
        <w:t>).</w:t>
      </w:r>
    </w:p>
    <w:p w:rsidR="00754A49" w:rsidRDefault="00754A49" w:rsidP="0072365A">
      <w:pPr>
        <w:ind w:firstLine="709"/>
        <w:jc w:val="both"/>
        <w:rPr>
          <w:lang w:eastAsia="zh-CN"/>
        </w:rPr>
      </w:pPr>
    </w:p>
    <w:p w:rsidR="00713CDB" w:rsidRDefault="00713CDB" w:rsidP="00754A49">
      <w:pPr>
        <w:pStyle w:val="Default"/>
        <w:jc w:val="center"/>
        <w:rPr>
          <w:b/>
          <w:bCs/>
          <w:sz w:val="18"/>
          <w:szCs w:val="18"/>
        </w:rPr>
      </w:pPr>
    </w:p>
    <w:p w:rsidR="00D70E97" w:rsidRPr="00D70E97" w:rsidRDefault="00D70E97" w:rsidP="00D70E97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lang w:eastAsia="en-US"/>
        </w:rPr>
      </w:pPr>
      <w:r w:rsidRPr="00D70E97">
        <w:rPr>
          <w:b/>
          <w:bCs/>
          <w:color w:val="000000"/>
          <w:sz w:val="18"/>
          <w:szCs w:val="18"/>
          <w:lang w:eastAsia="en-US"/>
        </w:rPr>
        <w:t>ВАЖНЫЕ ДАТЫ</w:t>
      </w:r>
    </w:p>
    <w:p w:rsidR="00D70E97" w:rsidRPr="00D70E97" w:rsidRDefault="00D70E97" w:rsidP="00D70E97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D70E97">
        <w:rPr>
          <w:b/>
          <w:bCs/>
          <w:color w:val="000000"/>
          <w:lang w:eastAsia="en-US"/>
        </w:rPr>
        <w:t xml:space="preserve">1 </w:t>
      </w:r>
      <w:r>
        <w:rPr>
          <w:b/>
          <w:bCs/>
          <w:color w:val="000000"/>
          <w:lang w:eastAsia="en-US"/>
        </w:rPr>
        <w:t>октября</w:t>
      </w:r>
      <w:r w:rsidRPr="00D70E97">
        <w:rPr>
          <w:b/>
          <w:bCs/>
          <w:color w:val="000000"/>
          <w:lang w:eastAsia="en-US"/>
        </w:rPr>
        <w:t xml:space="preserve"> 2018 г. – </w:t>
      </w:r>
      <w:r w:rsidRPr="00D70E97">
        <w:rPr>
          <w:bCs/>
          <w:color w:val="000000"/>
          <w:lang w:eastAsia="en-US"/>
        </w:rPr>
        <w:t>прием</w:t>
      </w:r>
      <w:r>
        <w:rPr>
          <w:b/>
          <w:bCs/>
          <w:color w:val="000000"/>
          <w:lang w:eastAsia="en-US"/>
        </w:rPr>
        <w:t xml:space="preserve"> </w:t>
      </w:r>
      <w:r w:rsidRPr="00D70E97">
        <w:rPr>
          <w:color w:val="000000"/>
          <w:lang w:eastAsia="en-US"/>
        </w:rPr>
        <w:t>авторск</w:t>
      </w:r>
      <w:r>
        <w:rPr>
          <w:color w:val="000000"/>
          <w:lang w:eastAsia="en-US"/>
        </w:rPr>
        <w:t xml:space="preserve">ого </w:t>
      </w:r>
      <w:r w:rsidRPr="00D70E97">
        <w:rPr>
          <w:color w:val="000000"/>
          <w:lang w:eastAsia="en-US"/>
        </w:rPr>
        <w:t>заявлени</w:t>
      </w:r>
      <w:r>
        <w:rPr>
          <w:color w:val="000000"/>
          <w:lang w:eastAsia="en-US"/>
        </w:rPr>
        <w:t>я и</w:t>
      </w:r>
      <w:r w:rsidRPr="00D70E97">
        <w:rPr>
          <w:color w:val="000000"/>
          <w:lang w:eastAsia="en-US"/>
        </w:rPr>
        <w:t xml:space="preserve"> </w:t>
      </w:r>
      <w:r w:rsidRPr="00D70E97">
        <w:rPr>
          <w:color w:val="000000"/>
          <w:lang w:eastAsia="en-US"/>
        </w:rPr>
        <w:t>стат</w:t>
      </w:r>
      <w:r>
        <w:rPr>
          <w:color w:val="000000"/>
          <w:lang w:eastAsia="en-US"/>
        </w:rPr>
        <w:t>ьи</w:t>
      </w:r>
      <w:r w:rsidRPr="00D70E97">
        <w:rPr>
          <w:color w:val="000000"/>
          <w:lang w:eastAsia="en-US"/>
        </w:rPr>
        <w:t xml:space="preserve">. </w:t>
      </w:r>
    </w:p>
    <w:p w:rsidR="00D70E97" w:rsidRDefault="00D70E97" w:rsidP="00D70E97">
      <w:pPr>
        <w:ind w:firstLine="709"/>
        <w:jc w:val="both"/>
      </w:pPr>
      <w:r>
        <w:rPr>
          <w:b/>
          <w:bCs/>
        </w:rPr>
        <w:t>20</w:t>
      </w:r>
      <w:r w:rsidRPr="00D70E97">
        <w:rPr>
          <w:b/>
          <w:bCs/>
        </w:rPr>
        <w:t xml:space="preserve"> </w:t>
      </w:r>
      <w:r>
        <w:rPr>
          <w:b/>
          <w:bCs/>
        </w:rPr>
        <w:t>октября</w:t>
      </w:r>
      <w:r w:rsidRPr="00D70E97">
        <w:rPr>
          <w:b/>
          <w:bCs/>
        </w:rPr>
        <w:t xml:space="preserve"> 2018 г. </w:t>
      </w:r>
      <w:r>
        <w:t>–</w:t>
      </w:r>
      <w:r w:rsidRPr="00D70E97">
        <w:t xml:space="preserve"> </w:t>
      </w:r>
      <w:r>
        <w:t xml:space="preserve">рассылка приглашений. </w:t>
      </w:r>
    </w:p>
    <w:p w:rsidR="004D6597" w:rsidRPr="00D70E97" w:rsidRDefault="004D6597" w:rsidP="00D70E97">
      <w:pPr>
        <w:ind w:firstLine="709"/>
        <w:jc w:val="both"/>
      </w:pPr>
      <w:r w:rsidRPr="001C6E80">
        <w:rPr>
          <w:b/>
        </w:rPr>
        <w:t>До 15 ноября 2018 г.</w:t>
      </w:r>
      <w:r>
        <w:t xml:space="preserve"> – размещение материалов конференции на сайте университета.</w:t>
      </w:r>
    </w:p>
    <w:p w:rsidR="00506A2C" w:rsidRDefault="00506A2C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</w:p>
    <w:sectPr w:rsidR="00506A2C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A7" w:rsidRDefault="002872A7" w:rsidP="00125153">
      <w:r>
        <w:separator/>
      </w:r>
    </w:p>
  </w:endnote>
  <w:endnote w:type="continuationSeparator" w:id="0">
    <w:p w:rsidR="002872A7" w:rsidRDefault="002872A7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713C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E80">
      <w:rPr>
        <w:noProof/>
      </w:rPr>
      <w:t>5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A7" w:rsidRDefault="002872A7" w:rsidP="00125153">
      <w:r>
        <w:separator/>
      </w:r>
    </w:p>
  </w:footnote>
  <w:footnote w:type="continuationSeparator" w:id="0">
    <w:p w:rsidR="002872A7" w:rsidRDefault="002872A7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4EC3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B707C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3F5"/>
    <w:rsid w:val="001745E6"/>
    <w:rsid w:val="00180536"/>
    <w:rsid w:val="0019018D"/>
    <w:rsid w:val="001A0F2B"/>
    <w:rsid w:val="001B7818"/>
    <w:rsid w:val="001C0063"/>
    <w:rsid w:val="001C1BD6"/>
    <w:rsid w:val="001C1C3E"/>
    <w:rsid w:val="001C5FEF"/>
    <w:rsid w:val="001C6E80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67B0F"/>
    <w:rsid w:val="00276C38"/>
    <w:rsid w:val="00283412"/>
    <w:rsid w:val="002872A7"/>
    <w:rsid w:val="00291FCC"/>
    <w:rsid w:val="002938B3"/>
    <w:rsid w:val="00296ED5"/>
    <w:rsid w:val="002A1239"/>
    <w:rsid w:val="002A3996"/>
    <w:rsid w:val="002A67DE"/>
    <w:rsid w:val="002A6B72"/>
    <w:rsid w:val="002C164E"/>
    <w:rsid w:val="002C41A1"/>
    <w:rsid w:val="002C6903"/>
    <w:rsid w:val="002D0D7E"/>
    <w:rsid w:val="002D2950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96202"/>
    <w:rsid w:val="003A537F"/>
    <w:rsid w:val="003A79DE"/>
    <w:rsid w:val="003D30E6"/>
    <w:rsid w:val="003D4E27"/>
    <w:rsid w:val="003F145A"/>
    <w:rsid w:val="003F2D4A"/>
    <w:rsid w:val="00401BFB"/>
    <w:rsid w:val="004042CA"/>
    <w:rsid w:val="00413C33"/>
    <w:rsid w:val="00416C1D"/>
    <w:rsid w:val="0042055D"/>
    <w:rsid w:val="004271EE"/>
    <w:rsid w:val="0043751D"/>
    <w:rsid w:val="004465F6"/>
    <w:rsid w:val="004509EC"/>
    <w:rsid w:val="00451CAC"/>
    <w:rsid w:val="004621D4"/>
    <w:rsid w:val="00476F32"/>
    <w:rsid w:val="00482002"/>
    <w:rsid w:val="004B5397"/>
    <w:rsid w:val="004D341B"/>
    <w:rsid w:val="004D6597"/>
    <w:rsid w:val="004E33B9"/>
    <w:rsid w:val="004E362E"/>
    <w:rsid w:val="004E7894"/>
    <w:rsid w:val="004F171D"/>
    <w:rsid w:val="004F5AA6"/>
    <w:rsid w:val="00502A62"/>
    <w:rsid w:val="00504DB5"/>
    <w:rsid w:val="00506A2C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071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1548C"/>
    <w:rsid w:val="00623752"/>
    <w:rsid w:val="00623EAE"/>
    <w:rsid w:val="0062437E"/>
    <w:rsid w:val="00627159"/>
    <w:rsid w:val="006336D3"/>
    <w:rsid w:val="0064443A"/>
    <w:rsid w:val="006658AB"/>
    <w:rsid w:val="006673F1"/>
    <w:rsid w:val="00681597"/>
    <w:rsid w:val="00690E05"/>
    <w:rsid w:val="006B547D"/>
    <w:rsid w:val="006C21BF"/>
    <w:rsid w:val="006C390A"/>
    <w:rsid w:val="006D3ACF"/>
    <w:rsid w:val="006D6E99"/>
    <w:rsid w:val="006E01C8"/>
    <w:rsid w:val="006E108A"/>
    <w:rsid w:val="006E4048"/>
    <w:rsid w:val="00713435"/>
    <w:rsid w:val="00713CDB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745D1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61449"/>
    <w:rsid w:val="00865D80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173CF"/>
    <w:rsid w:val="00931090"/>
    <w:rsid w:val="00935EE8"/>
    <w:rsid w:val="009439D9"/>
    <w:rsid w:val="009612B2"/>
    <w:rsid w:val="00961565"/>
    <w:rsid w:val="00984F9C"/>
    <w:rsid w:val="00993F4D"/>
    <w:rsid w:val="00997A5A"/>
    <w:rsid w:val="009A6CF8"/>
    <w:rsid w:val="009B1D13"/>
    <w:rsid w:val="00A16CFA"/>
    <w:rsid w:val="00A25509"/>
    <w:rsid w:val="00A31B1F"/>
    <w:rsid w:val="00A438B0"/>
    <w:rsid w:val="00A45B61"/>
    <w:rsid w:val="00A47221"/>
    <w:rsid w:val="00A47FDE"/>
    <w:rsid w:val="00A52723"/>
    <w:rsid w:val="00A71253"/>
    <w:rsid w:val="00A7640A"/>
    <w:rsid w:val="00A77858"/>
    <w:rsid w:val="00A941F3"/>
    <w:rsid w:val="00A9791B"/>
    <w:rsid w:val="00AA7CFB"/>
    <w:rsid w:val="00AD414B"/>
    <w:rsid w:val="00AD4DAA"/>
    <w:rsid w:val="00AD615E"/>
    <w:rsid w:val="00AE00D9"/>
    <w:rsid w:val="00AE0F75"/>
    <w:rsid w:val="00AE471C"/>
    <w:rsid w:val="00B02678"/>
    <w:rsid w:val="00B14967"/>
    <w:rsid w:val="00B43670"/>
    <w:rsid w:val="00B43E4E"/>
    <w:rsid w:val="00B8737D"/>
    <w:rsid w:val="00B9065C"/>
    <w:rsid w:val="00B9599C"/>
    <w:rsid w:val="00BA347F"/>
    <w:rsid w:val="00BA6AB2"/>
    <w:rsid w:val="00BA7457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3FF4"/>
    <w:rsid w:val="00C95A39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533D8"/>
    <w:rsid w:val="00D64F01"/>
    <w:rsid w:val="00D70E97"/>
    <w:rsid w:val="00D73A99"/>
    <w:rsid w:val="00D763C5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25F1B"/>
    <w:rsid w:val="00E31493"/>
    <w:rsid w:val="00E34FB1"/>
    <w:rsid w:val="00E4201D"/>
    <w:rsid w:val="00E45B22"/>
    <w:rsid w:val="00E55AE9"/>
    <w:rsid w:val="00E71E2F"/>
    <w:rsid w:val="00E974E8"/>
    <w:rsid w:val="00EF08D8"/>
    <w:rsid w:val="00F06513"/>
    <w:rsid w:val="00F23877"/>
    <w:rsid w:val="00F334D8"/>
    <w:rsid w:val="00F4154D"/>
    <w:rsid w:val="00F43D79"/>
    <w:rsid w:val="00F51636"/>
    <w:rsid w:val="00F567F0"/>
    <w:rsid w:val="00F81E14"/>
    <w:rsid w:val="00F8624A"/>
    <w:rsid w:val="00FA124C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44AB-AA1E-4B1E-B482-E84E08B8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Иваньо Ярослав Михайлович</cp:lastModifiedBy>
  <cp:revision>33</cp:revision>
  <cp:lastPrinted>2018-08-03T06:33:00Z</cp:lastPrinted>
  <dcterms:created xsi:type="dcterms:W3CDTF">2018-06-25T02:29:00Z</dcterms:created>
  <dcterms:modified xsi:type="dcterms:W3CDTF">2018-08-07T03:12:00Z</dcterms:modified>
</cp:coreProperties>
</file>